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B48F" w14:textId="77777777" w:rsidR="00AE4CB3" w:rsidRDefault="00AE4CB3">
      <w:pPr>
        <w:pStyle w:val="Heading9"/>
        <w:rPr>
          <w:sz w:val="28"/>
          <w:u w:val="none"/>
        </w:rPr>
      </w:pPr>
      <w:r>
        <w:rPr>
          <w:sz w:val="28"/>
        </w:rPr>
        <w:t>RISK ASSESSMENT –</w:t>
      </w:r>
      <w:r w:rsidR="00023F80">
        <w:rPr>
          <w:sz w:val="28"/>
        </w:rPr>
        <w:t xml:space="preserve"> PHOTO</w:t>
      </w:r>
      <w:r>
        <w:rPr>
          <w:sz w:val="28"/>
        </w:rPr>
        <w:t xml:space="preserve"> BOOTH </w:t>
      </w:r>
    </w:p>
    <w:p w14:paraId="129FC1D2" w14:textId="77777777" w:rsidR="00AE4CB3" w:rsidRDefault="00AE4CB3"/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  <w:gridCol w:w="3828"/>
      </w:tblGrid>
      <w:tr w:rsidR="00AE4CB3" w14:paraId="179497DC" w14:textId="7777777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835" w:type="dxa"/>
          </w:tcPr>
          <w:p w14:paraId="15DB501C" w14:textId="77777777" w:rsidR="00AE4CB3" w:rsidRDefault="00AE4C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Persons Involved:</w:t>
            </w:r>
          </w:p>
          <w:p w14:paraId="199D0C34" w14:textId="77777777" w:rsidR="00AE4CB3" w:rsidRDefault="007271B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Funday</w:t>
            </w:r>
            <w:r w:rsidR="00AE4CB3">
              <w:rPr>
                <w:rFonts w:ascii="Arial" w:hAnsi="Arial"/>
                <w:sz w:val="16"/>
              </w:rPr>
              <w:t xml:space="preserve"> on site team</w:t>
            </w:r>
          </w:p>
          <w:p w14:paraId="38E9EC0D" w14:textId="77777777" w:rsidR="00AE4CB3" w:rsidRDefault="00AE4C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</w:rPr>
            </w:pPr>
          </w:p>
          <w:p w14:paraId="01117B4E" w14:textId="77777777" w:rsidR="00AE4CB3" w:rsidRDefault="00AE4C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Also present:</w:t>
            </w:r>
          </w:p>
          <w:p w14:paraId="16B404E1" w14:textId="77777777" w:rsidR="00AE4CB3" w:rsidRDefault="00AE4C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Venue Staff</w:t>
            </w:r>
          </w:p>
          <w:p w14:paraId="132BDF4B" w14:textId="77777777" w:rsidR="00AE4CB3" w:rsidRDefault="00AE4C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Guests</w:t>
            </w:r>
          </w:p>
        </w:tc>
        <w:tc>
          <w:tcPr>
            <w:tcW w:w="7938" w:type="dxa"/>
          </w:tcPr>
          <w:p w14:paraId="1521FE07" w14:textId="77777777" w:rsidR="00AE4CB3" w:rsidRDefault="00AE4CB3" w:rsidP="00B126B9">
            <w:pPr>
              <w:pStyle w:val="BalloonText"/>
              <w:rPr>
                <w:b/>
              </w:rPr>
            </w:pPr>
            <w:r>
              <w:rPr>
                <w:rFonts w:ascii="Arial" w:hAnsi="Arial"/>
                <w:b/>
              </w:rPr>
              <w:t>Describe Activity / Equipment:</w:t>
            </w:r>
            <w:r>
              <w:rPr>
                <w:rFonts w:ascii="Arial" w:hAnsi="Arial"/>
                <w:b/>
              </w:rPr>
              <w:br/>
            </w:r>
            <w:r>
              <w:t xml:space="preserve">Portable party </w:t>
            </w:r>
            <w:r w:rsidR="00023F80">
              <w:t>photo</w:t>
            </w:r>
            <w:r>
              <w:t xml:space="preserve"> booth of aluminium sectional design with acrylic and </w:t>
            </w:r>
            <w:proofErr w:type="spellStart"/>
            <w:r>
              <w:t>macralon</w:t>
            </w:r>
            <w:proofErr w:type="spellEnd"/>
            <w:r>
              <w:t xml:space="preserve"> fascias. The sectional frame is joined by means of bespoke plastic junctions to form booth shape. The exterior is clad with </w:t>
            </w:r>
            <w:proofErr w:type="spellStart"/>
            <w:r>
              <w:t>velcro</w:t>
            </w:r>
            <w:proofErr w:type="spellEnd"/>
            <w:r>
              <w:t xml:space="preserve"> mounted </w:t>
            </w:r>
            <w:proofErr w:type="spellStart"/>
            <w:r>
              <w:t>macralon</w:t>
            </w:r>
            <w:proofErr w:type="spellEnd"/>
            <w:r>
              <w:t xml:space="preserve"> panels to form an outer shell and the interior is faced with opal acrylic allowing light into the booth. The hardware consists of a </w:t>
            </w:r>
            <w:proofErr w:type="spellStart"/>
            <w:r>
              <w:t>a</w:t>
            </w:r>
            <w:proofErr w:type="spellEnd"/>
            <w:r>
              <w:t xml:space="preserve"> tough screen computer, digital </w:t>
            </w:r>
            <w:proofErr w:type="gramStart"/>
            <w:r>
              <w:t>camera</w:t>
            </w:r>
            <w:proofErr w:type="gramEnd"/>
            <w:r>
              <w:t xml:space="preserve"> and commercial dye sub printer. The complete unit is transported by means of </w:t>
            </w:r>
            <w:proofErr w:type="gramStart"/>
            <w:r>
              <w:t>custom built</w:t>
            </w:r>
            <w:proofErr w:type="gramEnd"/>
            <w:r>
              <w:t xml:space="preserve"> wheeled flight cases.</w:t>
            </w:r>
          </w:p>
        </w:tc>
        <w:tc>
          <w:tcPr>
            <w:tcW w:w="3828" w:type="dxa"/>
          </w:tcPr>
          <w:p w14:paraId="541B1018" w14:textId="77777777" w:rsidR="00AE4CB3" w:rsidRDefault="00AE4C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Location:</w:t>
            </w:r>
          </w:p>
          <w:p w14:paraId="2D455E18" w14:textId="77777777" w:rsidR="00AE4CB3" w:rsidRDefault="00AE4C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16"/>
              </w:rPr>
            </w:pPr>
          </w:p>
          <w:p w14:paraId="59379A21" w14:textId="77777777" w:rsidR="00AE4CB3" w:rsidRDefault="00AE4C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Event Date</w:t>
            </w:r>
          </w:p>
          <w:p w14:paraId="4520D4E8" w14:textId="77777777" w:rsidR="00AE4CB3" w:rsidRDefault="00AE4CB3" w:rsidP="008C54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16"/>
              </w:rPr>
            </w:pPr>
          </w:p>
        </w:tc>
      </w:tr>
    </w:tbl>
    <w:p w14:paraId="3A9282A7" w14:textId="77777777" w:rsidR="00AE4CB3" w:rsidRDefault="00AE4CB3">
      <w:pPr>
        <w:rPr>
          <w:sz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7938"/>
        <w:gridCol w:w="709"/>
        <w:gridCol w:w="992"/>
        <w:gridCol w:w="709"/>
        <w:gridCol w:w="1418"/>
      </w:tblGrid>
      <w:tr w:rsidR="00AE4CB3" w14:paraId="36E878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0F32" w14:textId="77777777" w:rsidR="00AE4CB3" w:rsidRDefault="00AE4CB3">
            <w:pPr>
              <w:jc w:val="center"/>
              <w:rPr>
                <w:b/>
                <w:sz w:val="16"/>
              </w:rPr>
            </w:pPr>
          </w:p>
          <w:p w14:paraId="3A72B26D" w14:textId="77777777" w:rsidR="00AE4CB3" w:rsidRDefault="00AE4CB3">
            <w:pPr>
              <w:pStyle w:val="Heading7"/>
              <w:rPr>
                <w:sz w:val="16"/>
              </w:rPr>
            </w:pPr>
            <w:r>
              <w:rPr>
                <w:sz w:val="16"/>
              </w:rPr>
              <w:t>Hazard</w:t>
            </w:r>
          </w:p>
        </w:tc>
        <w:tc>
          <w:tcPr>
            <w:tcW w:w="79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E174" w14:textId="77777777" w:rsidR="00AE4CB3" w:rsidRDefault="00AE4CB3">
            <w:pPr>
              <w:jc w:val="center"/>
              <w:rPr>
                <w:b/>
                <w:sz w:val="16"/>
              </w:rPr>
            </w:pPr>
          </w:p>
          <w:p w14:paraId="2A5D0186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Control Measures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381D" w14:textId="77777777" w:rsidR="00AE4CB3" w:rsidRDefault="00AE4CB3">
            <w:pPr>
              <w:pStyle w:val="Heading6"/>
              <w:rPr>
                <w:sz w:val="16"/>
              </w:rPr>
            </w:pPr>
            <w:r>
              <w:rPr>
                <w:sz w:val="16"/>
              </w:rPr>
              <w:t>Calculation of Risk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807D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Risk Acceptable</w:t>
            </w:r>
          </w:p>
          <w:p w14:paraId="3F5EE79E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</w:tr>
      <w:tr w:rsidR="00AE4CB3" w14:paraId="21782956" w14:textId="77777777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ABB7" w14:textId="77777777" w:rsidR="00AE4CB3" w:rsidRDefault="00AE4CB3">
            <w:pPr>
              <w:jc w:val="center"/>
            </w:pPr>
          </w:p>
        </w:tc>
        <w:tc>
          <w:tcPr>
            <w:tcW w:w="79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A52AA" w14:textId="77777777" w:rsidR="00AE4CB3" w:rsidRDefault="00AE4CB3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0CA9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Harm</w:t>
            </w:r>
          </w:p>
          <w:p w14:paraId="46BCA57B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(1-4)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43B6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Likelihood</w:t>
            </w:r>
          </w:p>
          <w:p w14:paraId="06A389C4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(1-4)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E637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Risk</w:t>
            </w:r>
          </w:p>
          <w:p w14:paraId="63D4A6CB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Factor</w:t>
            </w: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9947" w14:textId="77777777" w:rsidR="00AE4CB3" w:rsidRDefault="00AE4CB3">
            <w:pPr>
              <w:jc w:val="center"/>
            </w:pPr>
          </w:p>
        </w:tc>
      </w:tr>
      <w:tr w:rsidR="00AE4CB3" w14:paraId="4E72BDA0" w14:textId="7777777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9B7D" w14:textId="77777777" w:rsidR="00AE4CB3" w:rsidRDefault="00AE4CB3">
            <w:pPr>
              <w:rPr>
                <w:sz w:val="16"/>
              </w:rPr>
            </w:pPr>
            <w:r>
              <w:rPr>
                <w:sz w:val="16"/>
              </w:rPr>
              <w:t>Manual Handling.</w:t>
            </w:r>
          </w:p>
          <w:p w14:paraId="5917DCAE" w14:textId="77777777" w:rsidR="00AE4CB3" w:rsidRDefault="00AE4CB3">
            <w:pPr>
              <w:rPr>
                <w:sz w:val="16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9E9FD" w14:textId="77777777" w:rsidR="00AE4CB3" w:rsidRDefault="00AE4CB3">
            <w:pPr>
              <w:rPr>
                <w:sz w:val="16"/>
              </w:rPr>
            </w:pPr>
            <w:r>
              <w:rPr>
                <w:sz w:val="16"/>
              </w:rPr>
              <w:t xml:space="preserve">Care should be taken when lifting or assembling sections. Standard manual handling techniques should be </w:t>
            </w:r>
            <w:proofErr w:type="gramStart"/>
            <w:r>
              <w:rPr>
                <w:sz w:val="16"/>
              </w:rPr>
              <w:t>observed at all times</w:t>
            </w:r>
            <w:proofErr w:type="gram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Particular care</w:t>
            </w:r>
            <w:proofErr w:type="gramEnd"/>
            <w:r>
              <w:rPr>
                <w:sz w:val="16"/>
              </w:rPr>
              <w:t xml:space="preserve"> should be taken when manoeuvring the flight cases, ramps or similar must be used for the loading / unloading from a van or similar.</w:t>
            </w:r>
          </w:p>
          <w:p w14:paraId="77123C2A" w14:textId="77777777" w:rsidR="00AE4CB3" w:rsidRDefault="00AE4CB3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B0C60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66EC2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3BE93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ECC9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</w:tr>
      <w:tr w:rsidR="00AE4CB3" w14:paraId="616BB7B8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7E77" w14:textId="77777777" w:rsidR="00AE4CB3" w:rsidRDefault="00AE4CB3">
            <w:pPr>
              <w:rPr>
                <w:sz w:val="16"/>
              </w:rPr>
            </w:pPr>
            <w:r>
              <w:rPr>
                <w:sz w:val="16"/>
              </w:rPr>
              <w:t>Trip hazard.</w:t>
            </w:r>
          </w:p>
          <w:p w14:paraId="3FBD5ED1" w14:textId="77777777" w:rsidR="00AE4CB3" w:rsidRDefault="00AE4CB3">
            <w:pPr>
              <w:rPr>
                <w:sz w:val="16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4B9E" w14:textId="77777777" w:rsidR="00AE4CB3" w:rsidRDefault="00AE4CB3">
            <w:pPr>
              <w:rPr>
                <w:sz w:val="16"/>
              </w:rPr>
            </w:pPr>
            <w:r>
              <w:rPr>
                <w:sz w:val="16"/>
              </w:rPr>
              <w:t xml:space="preserve">Should be installed outside of access routes, </w:t>
            </w:r>
            <w:proofErr w:type="gramStart"/>
            <w:r>
              <w:rPr>
                <w:sz w:val="16"/>
              </w:rPr>
              <w:t>doorways</w:t>
            </w:r>
            <w:proofErr w:type="gramEnd"/>
            <w:r>
              <w:rPr>
                <w:sz w:val="16"/>
              </w:rPr>
              <w:t xml:space="preserve"> or paths. Any leads should be taped down or routed outside of access routes or areas of foot traffic to prevent trips.</w:t>
            </w:r>
          </w:p>
          <w:p w14:paraId="03C0E87C" w14:textId="77777777" w:rsidR="00AE4CB3" w:rsidRDefault="00AE4CB3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88BC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43CE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EF75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2921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</w:tr>
      <w:tr w:rsidR="00AE4CB3" w14:paraId="3F74B20F" w14:textId="7777777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3FAC9" w14:textId="77777777" w:rsidR="00AE4CB3" w:rsidRDefault="00AE4CB3">
            <w:pPr>
              <w:rPr>
                <w:sz w:val="16"/>
              </w:rPr>
            </w:pPr>
            <w:r>
              <w:rPr>
                <w:sz w:val="16"/>
              </w:rPr>
              <w:t>Overcrowding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8F546" w14:textId="77777777" w:rsidR="00AE4CB3" w:rsidRDefault="00AE4CB3">
            <w:pPr>
              <w:rPr>
                <w:sz w:val="16"/>
              </w:rPr>
            </w:pPr>
            <w:r>
              <w:rPr>
                <w:sz w:val="16"/>
              </w:rPr>
              <w:t>The</w:t>
            </w:r>
            <w:r w:rsidR="007271BE">
              <w:rPr>
                <w:sz w:val="16"/>
              </w:rPr>
              <w:t xml:space="preserve"> booth can accept a maximum of 4 guests (2</w:t>
            </w:r>
            <w:r>
              <w:rPr>
                <w:sz w:val="16"/>
              </w:rPr>
              <w:t xml:space="preserve"> seated / 2 kneeling or similar) The operator / supervisor is required to ensure this number is </w:t>
            </w:r>
            <w:proofErr w:type="gramStart"/>
            <w:r>
              <w:rPr>
                <w:sz w:val="16"/>
              </w:rPr>
              <w:t>adhered to at all times</w:t>
            </w:r>
            <w:proofErr w:type="gramEnd"/>
            <w:r>
              <w:rPr>
                <w:sz w:val="16"/>
              </w:rPr>
              <w:t xml:space="preserve">. </w:t>
            </w:r>
          </w:p>
          <w:p w14:paraId="3D962278" w14:textId="77777777" w:rsidR="00AE4CB3" w:rsidRDefault="00AE4CB3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3D98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CE8E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EB5D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1717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</w:tr>
      <w:tr w:rsidR="00AE4CB3" w14:paraId="2054A622" w14:textId="7777777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C815" w14:textId="77777777" w:rsidR="00AE4CB3" w:rsidRDefault="00AE4CB3">
            <w:pPr>
              <w:rPr>
                <w:sz w:val="16"/>
              </w:rPr>
            </w:pPr>
            <w:r>
              <w:rPr>
                <w:sz w:val="16"/>
              </w:rPr>
              <w:t>Miss-use of equipment.</w:t>
            </w:r>
          </w:p>
          <w:p w14:paraId="760BB746" w14:textId="77777777" w:rsidR="00AE4CB3" w:rsidRDefault="00AE4CB3">
            <w:pPr>
              <w:rPr>
                <w:sz w:val="16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FD21" w14:textId="77777777" w:rsidR="00AE4CB3" w:rsidRDefault="00AE4CB3">
            <w:pPr>
              <w:rPr>
                <w:sz w:val="16"/>
              </w:rPr>
            </w:pPr>
            <w:r>
              <w:rPr>
                <w:sz w:val="16"/>
              </w:rPr>
              <w:t>Equipment is supervised by a responsible adult either from the company or on the behalf of the client. Overnight or whilst un-attended for a long period of time the equipment should be turned off and disable from use.</w:t>
            </w:r>
          </w:p>
          <w:p w14:paraId="4E35A8D7" w14:textId="77777777" w:rsidR="00AE4CB3" w:rsidRDefault="00AE4CB3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0F60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9DCD3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4360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A809B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</w:tr>
      <w:tr w:rsidR="00AE4CB3" w14:paraId="6F164395" w14:textId="7777777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2870" w14:textId="77777777" w:rsidR="00AE4CB3" w:rsidRDefault="00AE4CB3">
            <w:pPr>
              <w:rPr>
                <w:sz w:val="16"/>
              </w:rPr>
            </w:pPr>
            <w:r>
              <w:rPr>
                <w:sz w:val="16"/>
              </w:rPr>
              <w:t>Electrical</w:t>
            </w:r>
          </w:p>
        </w:tc>
        <w:tc>
          <w:tcPr>
            <w:tcW w:w="7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FA3278" w14:textId="77777777" w:rsidR="00AE4CB3" w:rsidRDefault="00AE4CB3">
            <w:pPr>
              <w:rPr>
                <w:sz w:val="16"/>
              </w:rPr>
            </w:pPr>
            <w:r>
              <w:rPr>
                <w:sz w:val="16"/>
              </w:rPr>
              <w:t>All electrical items should be annually PAT tested for electrical safety.</w:t>
            </w:r>
          </w:p>
          <w:p w14:paraId="066F0103" w14:textId="77777777" w:rsidR="00AE4CB3" w:rsidRDefault="00AE4CB3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867447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27BDBB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A6852D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4FEBD0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</w:tr>
      <w:tr w:rsidR="00AE4CB3" w14:paraId="6500F5F4" w14:textId="7777777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8DBC" w14:textId="77777777" w:rsidR="00AE4CB3" w:rsidRDefault="00AE4CB3">
            <w:pPr>
              <w:rPr>
                <w:sz w:val="16"/>
              </w:rPr>
            </w:pPr>
            <w:r>
              <w:rPr>
                <w:sz w:val="16"/>
              </w:rPr>
              <w:t>Slips &amp; Falls</w:t>
            </w:r>
          </w:p>
        </w:tc>
        <w:tc>
          <w:tcPr>
            <w:tcW w:w="7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E940A2" w14:textId="77777777" w:rsidR="00AE4CB3" w:rsidRDefault="00AE4CB3">
            <w:pPr>
              <w:rPr>
                <w:sz w:val="16"/>
              </w:rPr>
            </w:pPr>
            <w:r>
              <w:rPr>
                <w:sz w:val="16"/>
              </w:rPr>
              <w:t>Drinks should not be allowed into the booth, in the event of any external spillage’s operation should cease and the spillage should be cleaned up immediately.</w:t>
            </w:r>
          </w:p>
          <w:p w14:paraId="706170CC" w14:textId="77777777" w:rsidR="00AE4CB3" w:rsidRDefault="00AE4CB3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313C2A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DE136A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9BA285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B6C06E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</w:tr>
      <w:tr w:rsidR="00AE4CB3" w14:paraId="5329F246" w14:textId="7777777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821B" w14:textId="77777777" w:rsidR="00AE4CB3" w:rsidRDefault="00AE4CB3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  <w:p w14:paraId="22D4384D" w14:textId="77777777" w:rsidR="00AE4CB3" w:rsidRDefault="00AE4CB3">
            <w:pPr>
              <w:rPr>
                <w:sz w:val="16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80AA6E" w14:textId="77777777" w:rsidR="00AE4CB3" w:rsidRDefault="00AE4CB3">
            <w:pPr>
              <w:rPr>
                <w:sz w:val="16"/>
              </w:rPr>
            </w:pPr>
            <w:r>
              <w:rPr>
                <w:sz w:val="16"/>
              </w:rPr>
              <w:t>All fabrics are F/</w:t>
            </w:r>
            <w:proofErr w:type="gramStart"/>
            <w:r>
              <w:rPr>
                <w:sz w:val="16"/>
              </w:rPr>
              <w:t>R</w:t>
            </w:r>
            <w:proofErr w:type="gramEnd"/>
            <w:r>
              <w:rPr>
                <w:sz w:val="16"/>
              </w:rPr>
              <w:t xml:space="preserve"> and all electrical appliances /leads are annually PAT tested.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170A3D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F09C8D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B2B79F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3B25E8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</w:tr>
      <w:tr w:rsidR="00AE4CB3" w14:paraId="1751EDC3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3BBA" w14:textId="77777777" w:rsidR="00AE4CB3" w:rsidRDefault="00AE4CB3">
            <w:pPr>
              <w:rPr>
                <w:sz w:val="16"/>
              </w:rPr>
            </w:pPr>
            <w:r>
              <w:rPr>
                <w:sz w:val="16"/>
              </w:rPr>
              <w:t xml:space="preserve">Criminal Activities (security) or unsupervised use. </w:t>
            </w:r>
          </w:p>
        </w:tc>
        <w:tc>
          <w:tcPr>
            <w:tcW w:w="7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400F4F" w14:textId="77777777" w:rsidR="00AE4CB3" w:rsidRDefault="00AE4CB3">
            <w:pPr>
              <w:rPr>
                <w:sz w:val="16"/>
              </w:rPr>
            </w:pPr>
            <w:r>
              <w:rPr>
                <w:sz w:val="16"/>
              </w:rPr>
              <w:t xml:space="preserve">If </w:t>
            </w:r>
            <w:proofErr w:type="gramStart"/>
            <w:r>
              <w:rPr>
                <w:sz w:val="16"/>
              </w:rPr>
              <w:t>possible</w:t>
            </w:r>
            <w:proofErr w:type="gramEnd"/>
            <w:r>
              <w:rPr>
                <w:sz w:val="16"/>
              </w:rPr>
              <w:t xml:space="preserve"> equipment should not be left un-attended whilst area is open to guests / the public. If it is necessary to leave equipment unattended at any time it is disabled to prevent unsupervised use.</w:t>
            </w:r>
          </w:p>
          <w:p w14:paraId="46982124" w14:textId="77777777" w:rsidR="00AE4CB3" w:rsidRDefault="00AE4CB3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3C3AF1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AE19BA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1DB6CE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FAEC8E" w14:textId="77777777" w:rsidR="00AE4CB3" w:rsidRDefault="00AE4C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</w:tr>
    </w:tbl>
    <w:p w14:paraId="3D1B1414" w14:textId="77777777" w:rsidR="00AE4CB3" w:rsidRDefault="00AE4CB3">
      <w:pPr>
        <w:rPr>
          <w:sz w:val="16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2"/>
        <w:gridCol w:w="3119"/>
      </w:tblGrid>
      <w:tr w:rsidR="00AE4CB3" w14:paraId="5B5856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01" w:type="dxa"/>
            <w:gridSpan w:val="2"/>
          </w:tcPr>
          <w:p w14:paraId="52DE0C9F" w14:textId="77777777" w:rsidR="00AE4CB3" w:rsidRDefault="00AE4CB3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Other operational notes: </w:t>
            </w:r>
          </w:p>
          <w:p w14:paraId="2B9702EF" w14:textId="77777777" w:rsidR="00AE4CB3" w:rsidRDefault="00AE4CB3">
            <w:pPr>
              <w:rPr>
                <w:b/>
                <w:sz w:val="16"/>
              </w:rPr>
            </w:pPr>
            <w:r>
              <w:rPr>
                <w:sz w:val="16"/>
              </w:rPr>
              <w:t>The operator must at no time consume alcohol whilst in charge of the equipment. His / her operational awareness is essential to the safe running of the equipment.</w:t>
            </w:r>
            <w:r>
              <w:rPr>
                <w:sz w:val="16"/>
              </w:rPr>
              <w:br/>
            </w:r>
          </w:p>
        </w:tc>
      </w:tr>
      <w:tr w:rsidR="00AE4CB3" w14:paraId="67D75EE1" w14:textId="77777777">
        <w:tblPrEx>
          <w:tblCellMar>
            <w:top w:w="0" w:type="dxa"/>
            <w:bottom w:w="0" w:type="dxa"/>
          </w:tblCellMar>
        </w:tblPrEx>
        <w:tc>
          <w:tcPr>
            <w:tcW w:w="11482" w:type="dxa"/>
          </w:tcPr>
          <w:p w14:paraId="66ECF884" w14:textId="77777777" w:rsidR="00AE4CB3" w:rsidRDefault="00AE4CB3">
            <w:pPr>
              <w:jc w:val="both"/>
              <w:rPr>
                <w:sz w:val="16"/>
              </w:rPr>
            </w:pPr>
          </w:p>
          <w:p w14:paraId="2C06D990" w14:textId="77777777" w:rsidR="00AE4CB3" w:rsidRDefault="00AE4CB3">
            <w:pPr>
              <w:jc w:val="both"/>
              <w:rPr>
                <w:sz w:val="16"/>
              </w:rPr>
            </w:pPr>
            <w:r>
              <w:rPr>
                <w:sz w:val="16"/>
              </w:rPr>
              <w:t>Risk Asse</w:t>
            </w:r>
            <w:r w:rsidR="007271BE">
              <w:rPr>
                <w:sz w:val="16"/>
              </w:rPr>
              <w:t xml:space="preserve">ssment completed </w:t>
            </w:r>
            <w:proofErr w:type="gramStart"/>
            <w:r w:rsidR="007271BE">
              <w:rPr>
                <w:sz w:val="16"/>
              </w:rPr>
              <w:t>by :</w:t>
            </w:r>
            <w:proofErr w:type="gramEnd"/>
            <w:r w:rsidR="007271BE">
              <w:rPr>
                <w:sz w:val="16"/>
              </w:rPr>
              <w:t xml:space="preserve"> Mick Carroll</w:t>
            </w:r>
          </w:p>
          <w:p w14:paraId="1DD53B96" w14:textId="77777777" w:rsidR="00AE4CB3" w:rsidRDefault="00AE4CB3" w:rsidP="007271BE">
            <w:pPr>
              <w:rPr>
                <w:sz w:val="16"/>
              </w:rPr>
            </w:pPr>
          </w:p>
        </w:tc>
        <w:tc>
          <w:tcPr>
            <w:tcW w:w="3119" w:type="dxa"/>
          </w:tcPr>
          <w:p w14:paraId="102B4A8B" w14:textId="54BBF949" w:rsidR="00AE4CB3" w:rsidRDefault="00AE4CB3" w:rsidP="0001685A">
            <w:pPr>
              <w:rPr>
                <w:sz w:val="16"/>
              </w:rPr>
            </w:pPr>
          </w:p>
        </w:tc>
      </w:tr>
    </w:tbl>
    <w:p w14:paraId="4C5FDA45" w14:textId="77777777" w:rsidR="00AE4CB3" w:rsidRDefault="00AE4CB3">
      <w:pPr>
        <w:pStyle w:val="BodyText"/>
        <w:rPr>
          <w:sz w:val="12"/>
        </w:rPr>
      </w:pPr>
      <w:r>
        <w:rPr>
          <w:b/>
          <w:i/>
        </w:rPr>
        <w:br/>
      </w:r>
      <w:r>
        <w:rPr>
          <w:b/>
          <w:i/>
          <w:sz w:val="12"/>
        </w:rPr>
        <w:t>Harm</w:t>
      </w:r>
      <w:r>
        <w:rPr>
          <w:sz w:val="12"/>
        </w:rPr>
        <w:t xml:space="preserve"> 1. Minor injury requiring minor first aid. 2. Injury requiring paramedic / hospital visit. 3. </w:t>
      </w:r>
      <w:proofErr w:type="gramStart"/>
      <w:r>
        <w:rPr>
          <w:sz w:val="12"/>
        </w:rPr>
        <w:t>Serious</w:t>
      </w:r>
      <w:proofErr w:type="gramEnd"/>
      <w:r>
        <w:rPr>
          <w:sz w:val="12"/>
        </w:rPr>
        <w:t xml:space="preserve"> injury resulting in hospital treatment &amp; prolonged recovery.  4.. Long term injury, </w:t>
      </w:r>
      <w:proofErr w:type="gramStart"/>
      <w:r>
        <w:rPr>
          <w:sz w:val="12"/>
        </w:rPr>
        <w:t>death</w:t>
      </w:r>
      <w:proofErr w:type="gramEnd"/>
      <w:r>
        <w:rPr>
          <w:sz w:val="12"/>
        </w:rPr>
        <w:t xml:space="preserve"> or disability. </w:t>
      </w:r>
    </w:p>
    <w:p w14:paraId="14455E90" w14:textId="77777777" w:rsidR="00AE4CB3" w:rsidRDefault="00AE4CB3">
      <w:pPr>
        <w:pStyle w:val="BodyText"/>
        <w:rPr>
          <w:sz w:val="12"/>
        </w:rPr>
      </w:pPr>
      <w:r>
        <w:rPr>
          <w:b/>
          <w:i/>
          <w:sz w:val="12"/>
        </w:rPr>
        <w:t xml:space="preserve">Probability </w:t>
      </w:r>
      <w:r>
        <w:rPr>
          <w:sz w:val="12"/>
        </w:rPr>
        <w:t xml:space="preserve">1. Extremely remote – unlikely to occur. 2. Remote – may occur in time. 3. Reasonably probable – probably will occur in time. 4. Probable – likely to occur frequently. </w:t>
      </w:r>
    </w:p>
    <w:p w14:paraId="44497774" w14:textId="77777777" w:rsidR="00AE4CB3" w:rsidRDefault="00AE4CB3">
      <w:pPr>
        <w:pStyle w:val="BodyText"/>
        <w:rPr>
          <w:b/>
          <w:i/>
        </w:rPr>
      </w:pPr>
      <w:r>
        <w:rPr>
          <w:b/>
          <w:i/>
          <w:sz w:val="12"/>
        </w:rPr>
        <w:t>Total Risk</w:t>
      </w:r>
      <w:r>
        <w:rPr>
          <w:sz w:val="12"/>
        </w:rPr>
        <w:t xml:space="preserve"> </w:t>
      </w:r>
      <w:r>
        <w:rPr>
          <w:b/>
          <w:sz w:val="12"/>
        </w:rPr>
        <w:t xml:space="preserve">1-4 </w:t>
      </w:r>
      <w:r>
        <w:rPr>
          <w:sz w:val="12"/>
        </w:rPr>
        <w:t xml:space="preserve">Acceptable </w:t>
      </w:r>
      <w:r>
        <w:rPr>
          <w:b/>
          <w:sz w:val="12"/>
        </w:rPr>
        <w:t xml:space="preserve">5-8 </w:t>
      </w:r>
      <w:r>
        <w:rPr>
          <w:sz w:val="12"/>
        </w:rPr>
        <w:t xml:space="preserve">Low Risk, activity guidelines should be followed </w:t>
      </w:r>
      <w:r>
        <w:rPr>
          <w:b/>
          <w:sz w:val="12"/>
        </w:rPr>
        <w:t xml:space="preserve">9-12 </w:t>
      </w:r>
      <w:r>
        <w:rPr>
          <w:sz w:val="12"/>
        </w:rPr>
        <w:t xml:space="preserve">High Risk, activity must be carefully monitored and supervised </w:t>
      </w:r>
      <w:r>
        <w:rPr>
          <w:b/>
          <w:sz w:val="12"/>
        </w:rPr>
        <w:t xml:space="preserve">13-16 </w:t>
      </w:r>
      <w:r>
        <w:rPr>
          <w:sz w:val="12"/>
        </w:rPr>
        <w:t>Unacceptable Risk activity can not continue.</w:t>
      </w:r>
    </w:p>
    <w:sectPr w:rsidR="00AE4CB3">
      <w:footerReference w:type="default" r:id="rId7"/>
      <w:pgSz w:w="16834" w:h="11907" w:orient="landscape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7FD44" w14:textId="77777777" w:rsidR="006717B1" w:rsidRDefault="006717B1">
      <w:r>
        <w:separator/>
      </w:r>
    </w:p>
  </w:endnote>
  <w:endnote w:type="continuationSeparator" w:id="0">
    <w:p w14:paraId="7937FCE4" w14:textId="77777777" w:rsidR="006717B1" w:rsidRDefault="0067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Dutch Roman 11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E9A3" w14:textId="77777777" w:rsidR="00AE4CB3" w:rsidRDefault="00AE4CB3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271BE">
      <w:rPr>
        <w:noProof/>
      </w:rPr>
      <w:t>1</w:t>
    </w:r>
    <w:r>
      <w:fldChar w:fldCharType="end"/>
    </w:r>
    <w:r>
      <w:t xml:space="preserve"> of </w:t>
    </w:r>
    <w:fldSimple w:instr=" NUMPAGES ">
      <w:r w:rsidR="007271BE">
        <w:rPr>
          <w:noProof/>
        </w:rPr>
        <w:t>1</w:t>
      </w:r>
    </w:fldSimple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t>F-HS-04.03 (Risk Assessment) Rev 2</w:t>
    </w:r>
  </w:p>
  <w:p w14:paraId="68C7EA7A" w14:textId="77777777" w:rsidR="00AE4CB3" w:rsidRDefault="00AE4CB3">
    <w:pPr>
      <w:tabs>
        <w:tab w:val="right" w:pos="14566"/>
      </w:tabs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t>F-HS-04.03 (Risk Assessment) Rev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503B" w14:textId="77777777" w:rsidR="006717B1" w:rsidRDefault="006717B1">
      <w:r>
        <w:separator/>
      </w:r>
    </w:p>
  </w:footnote>
  <w:footnote w:type="continuationSeparator" w:id="0">
    <w:p w14:paraId="107E2383" w14:textId="77777777" w:rsidR="006717B1" w:rsidRDefault="0067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5A77"/>
    <w:multiLevelType w:val="hybridMultilevel"/>
    <w:tmpl w:val="B89EF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45069"/>
    <w:multiLevelType w:val="hybridMultilevel"/>
    <w:tmpl w:val="483C9B7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8E25DC0"/>
    <w:multiLevelType w:val="hybridMultilevel"/>
    <w:tmpl w:val="D1F66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57D0C"/>
    <w:multiLevelType w:val="multilevel"/>
    <w:tmpl w:val="5486F4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33574C"/>
    <w:multiLevelType w:val="hybridMultilevel"/>
    <w:tmpl w:val="EEA2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B71A77"/>
    <w:multiLevelType w:val="hybridMultilevel"/>
    <w:tmpl w:val="B9D80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48590A"/>
    <w:multiLevelType w:val="hybridMultilevel"/>
    <w:tmpl w:val="5D0CF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FC056E"/>
    <w:multiLevelType w:val="hybridMultilevel"/>
    <w:tmpl w:val="F14C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04421"/>
    <w:multiLevelType w:val="hybridMultilevel"/>
    <w:tmpl w:val="D4E6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C0324"/>
    <w:multiLevelType w:val="hybridMultilevel"/>
    <w:tmpl w:val="64E4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8359E"/>
    <w:multiLevelType w:val="hybridMultilevel"/>
    <w:tmpl w:val="5486F4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E43882"/>
    <w:multiLevelType w:val="singleLevel"/>
    <w:tmpl w:val="BD24C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A157C97"/>
    <w:multiLevelType w:val="hybridMultilevel"/>
    <w:tmpl w:val="B4EE9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B473A5"/>
    <w:multiLevelType w:val="multilevel"/>
    <w:tmpl w:val="B4EE9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34186383">
    <w:abstractNumId w:val="11"/>
  </w:num>
  <w:num w:numId="2" w16cid:durableId="592132845">
    <w:abstractNumId w:val="4"/>
  </w:num>
  <w:num w:numId="3" w16cid:durableId="1340963793">
    <w:abstractNumId w:val="5"/>
  </w:num>
  <w:num w:numId="4" w16cid:durableId="1592935565">
    <w:abstractNumId w:val="12"/>
  </w:num>
  <w:num w:numId="5" w16cid:durableId="484784379">
    <w:abstractNumId w:val="2"/>
  </w:num>
  <w:num w:numId="6" w16cid:durableId="735974376">
    <w:abstractNumId w:val="13"/>
  </w:num>
  <w:num w:numId="7" w16cid:durableId="1400593061">
    <w:abstractNumId w:val="10"/>
  </w:num>
  <w:num w:numId="8" w16cid:durableId="858660992">
    <w:abstractNumId w:val="3"/>
  </w:num>
  <w:num w:numId="9" w16cid:durableId="183788006">
    <w:abstractNumId w:val="0"/>
  </w:num>
  <w:num w:numId="10" w16cid:durableId="52196946">
    <w:abstractNumId w:val="6"/>
  </w:num>
  <w:num w:numId="11" w16cid:durableId="1716849538">
    <w:abstractNumId w:val="1"/>
  </w:num>
  <w:num w:numId="12" w16cid:durableId="835654597">
    <w:abstractNumId w:val="7"/>
  </w:num>
  <w:num w:numId="13" w16cid:durableId="504251118">
    <w:abstractNumId w:val="8"/>
  </w:num>
  <w:num w:numId="14" w16cid:durableId="15709934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54FF"/>
    <w:rsid w:val="0001685A"/>
    <w:rsid w:val="00023F80"/>
    <w:rsid w:val="000377E9"/>
    <w:rsid w:val="001A64B4"/>
    <w:rsid w:val="001D057D"/>
    <w:rsid w:val="006717B1"/>
    <w:rsid w:val="00685B34"/>
    <w:rsid w:val="007271BE"/>
    <w:rsid w:val="008C54FF"/>
    <w:rsid w:val="00A52F77"/>
    <w:rsid w:val="00AE4CB3"/>
    <w:rsid w:val="00B126B9"/>
    <w:rsid w:val="00B54AC0"/>
    <w:rsid w:val="00D35982"/>
    <w:rsid w:val="00DE061A"/>
    <w:rsid w:val="00E53A55"/>
    <w:rsid w:val="00E91AA6"/>
    <w:rsid w:val="00FC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3FD60"/>
  <w15:chartTrackingRefBased/>
  <w15:docId w15:val="{6008C7A5-F871-4A60-95A6-9C792732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1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suppressAutoHyphens/>
      <w:ind w:left="1080" w:hanging="1080"/>
      <w:jc w:val="both"/>
      <w:outlineLvl w:val="0"/>
    </w:pPr>
    <w:rPr>
      <w:b/>
      <w:spacing w:val="-2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uppressAutoHyphens/>
      <w:ind w:left="1080" w:hanging="1080"/>
      <w:jc w:val="both"/>
      <w:outlineLvl w:val="1"/>
    </w:pPr>
    <w:rPr>
      <w:b/>
      <w:spacing w:val="-2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lonna MT" w:hAnsi="Colonna MT"/>
      <w:sz w:val="32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126"/>
        <w:tab w:val="left" w:pos="6480"/>
      </w:tabs>
      <w:suppressAutoHyphens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Dutch Roman 11pt" w:hAnsi="Dutch Roman 11pt"/>
      <w:sz w:val="22"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Dutch Roman 11pt" w:hAnsi="Dutch Roman 11pt"/>
      <w:sz w:val="22"/>
      <w:lang w:val="en-US"/>
    </w:rPr>
  </w:style>
  <w:style w:type="character" w:styleId="PageNumber">
    <w:name w:val="page number"/>
    <w:basedOn w:val="DefaultParagraphFont"/>
    <w:semiHidden/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Dutch Roman 11pt"/>
      <w:sz w:val="16"/>
      <w:szCs w:val="16"/>
    </w:rPr>
  </w:style>
  <w:style w:type="paragraph" w:styleId="BodyText">
    <w:name w:val="Body Text"/>
    <w:basedOn w:val="Normal"/>
    <w:semiHidden/>
    <w:pPr>
      <w:tabs>
        <w:tab w:val="left" w:pos="-1440"/>
        <w:tab w:val="left" w:pos="-720"/>
        <w:tab w:val="left" w:pos="0"/>
        <w:tab w:val="left" w:pos="1126"/>
        <w:tab w:val="left" w:pos="6480"/>
      </w:tabs>
      <w:suppressAutoHyphens/>
      <w:jc w:val="both"/>
    </w:pPr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4.2</vt:lpstr>
    </vt:vector>
  </TitlesOfParts>
  <Company>Citi Bank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4.2</dc:title>
  <dc:subject/>
  <dc:creator>Colin Gilber</dc:creator>
  <cp:keywords/>
  <cp:lastModifiedBy>michael carroll</cp:lastModifiedBy>
  <cp:revision>2</cp:revision>
  <cp:lastPrinted>2008-03-24T22:02:00Z</cp:lastPrinted>
  <dcterms:created xsi:type="dcterms:W3CDTF">2023-02-08T13:35:00Z</dcterms:created>
  <dcterms:modified xsi:type="dcterms:W3CDTF">2023-02-08T13:35:00Z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1197480346</vt:i4>
  </property>
  <property fmtid="{D5CDD505-2E9C-101B-9397-08002B2CF9AE}" pid="3" name="_EmailSubject">
    <vt:lpwstr>URGENT regarding Saturday.</vt:lpwstr>
  </property>
  <property fmtid="{D5CDD505-2E9C-101B-9397-08002B2CF9AE}" pid="4" name="_AuthorEmail">
    <vt:lpwstr>Leanne.Peters@CanaryWharf.com</vt:lpwstr>
  </property>
  <property fmtid="{D5CDD505-2E9C-101B-9397-08002B2CF9AE}" pid="5" name="_AuthorEmailDisplayName">
    <vt:lpwstr>Leanne Peters</vt:lpwstr>
  </property>
  <property fmtid="{D5CDD505-2E9C-101B-9397-08002B2CF9AE}" pid="6" name="_ReviewingToolsShownOnce">
    <vt:lpwstr/>
  </property>
</Properties>
</file>